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199E22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1.立德树人</w:t>
      </w:r>
    </w:p>
    <w:p w14:paraId="0D1A24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立德树人是指培养有品德的人才。立德，就是坚持德育为先，通过正面教育来引导人、感化人、激励人。树人，就是坚持以人为本，通过合适的教育来塑造人、改变人、发展人。培养德智体美劳全面发展的社会主义建设者和接班人，归根结底就是立德树人。</w:t>
      </w:r>
    </w:p>
    <w:p w14:paraId="3B8942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2.三全育人</w:t>
      </w:r>
      <w:bookmarkStart w:id="0" w:name="_GoBack"/>
      <w:bookmarkEnd w:id="0"/>
    </w:p>
    <w:p w14:paraId="5EB417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三全育人是指全员育人、全过程育人、全方位育人。全员育人强调人人都有育人意识，树立育人责任感，在本职工作中发挥育人作用；全过程育人强调育人要贯穿大学生学习成长的全过程；全方位育人强调教育要体现在促进大学生全面发展的各个方面和各个环节。</w:t>
      </w:r>
    </w:p>
    <w:p w14:paraId="1115CF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3.五育并举</w:t>
      </w:r>
    </w:p>
    <w:p w14:paraId="561DD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“五育并举”是指在现代化的教育中通过重视并实施德育、智育、体育、美育、劳动教育，促进人的全面发展。它既是现代化国家对人的素质的综合要求，也是现代化的教育要能够达到的一个目标。</w:t>
      </w:r>
    </w:p>
    <w:p w14:paraId="6DE9F0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4.十大育人体系</w:t>
      </w:r>
    </w:p>
    <w:p w14:paraId="1F5FDC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课程育人、科研育人、实践育人、管理育人、服务育人、文化育人、组织育人、网络育人、心理育人、资助育人。  </w:t>
      </w:r>
    </w:p>
    <w:p w14:paraId="04805C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5.以本为本</w:t>
      </w:r>
    </w:p>
    <w:p w14:paraId="4D9D47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坚持“以本为本”，把本科教育放在人才培养的核心地位、教育教学的基础地位、新时代教育发展的前沿地位。</w:t>
      </w:r>
    </w:p>
    <w:p w14:paraId="2A84B8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6.四个回归</w:t>
      </w:r>
    </w:p>
    <w:p w14:paraId="31DB0D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四个回归是指“回归常识、回归本分、回归初心、回归梦想”。</w:t>
      </w:r>
    </w:p>
    <w:p w14:paraId="2EED21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7.四史教育</w:t>
      </w:r>
    </w:p>
    <w:p w14:paraId="1D9E30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四史教育是党史、国史、改革开放史和社会主义发展史教育的统称。</w:t>
      </w:r>
    </w:p>
    <w:p w14:paraId="35100A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8.破五唯</w:t>
      </w:r>
    </w:p>
    <w:p w14:paraId="56FBC7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破五唯是指破除唯分数、唯升学、唯文凭、唯论文、唯帽子的顽瘴痼疾。</w:t>
      </w:r>
    </w:p>
    <w:p w14:paraId="217456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9.OBE理念</w:t>
      </w:r>
    </w:p>
    <w:p w14:paraId="694CFC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OBE（Outcome-Based Education）理念是指学生中心，产出导向，持续改进。“OBE 教育理念”是一种以成果为目标导向，以学生为本，采用逆向思维的方式进行的课程体系的建设理念，是一种先进的教育理念。                   </w:t>
      </w:r>
    </w:p>
    <w:p w14:paraId="3DA66B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10.五大金课</w:t>
      </w:r>
    </w:p>
    <w:p w14:paraId="16BAA4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五大金课是指线下“金课”、线上“金课”、线上线下混合式“金课”、虚拟仿真“金课”和社会实践“金课”。</w:t>
      </w:r>
    </w:p>
    <w:p w14:paraId="38FDCF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11.两性一度</w:t>
      </w:r>
    </w:p>
    <w:p w14:paraId="7B2E4E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两性一度是指高阶性、创新性、挑战度。</w:t>
      </w:r>
    </w:p>
    <w:p w14:paraId="57D398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12.双师双能型教师</w:t>
      </w:r>
    </w:p>
    <w:p w14:paraId="29DE43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双师双能型教师是指具备“双师双能型”要求的应用型教师，即教师、工程师等资格兼具，教学能力、产学研能力兼备的教师。</w:t>
      </w:r>
    </w:p>
    <w:p w14:paraId="110B6F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13.四新建设</w:t>
      </w:r>
    </w:p>
    <w:p w14:paraId="7FDE45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新工科、新医科、新农科、新文科建设。</w:t>
      </w:r>
    </w:p>
    <w:p w14:paraId="70AEC7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14.教育的“四个服务”</w:t>
      </w:r>
    </w:p>
    <w:p w14:paraId="29A061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教育必须坚持“为人民服务”；必须坚持“为中国共产党治国理政服务”；必须坚持“为巩固和发展中国特色社会主义制度服务”；必须坚持“为改革开放和社会主义现代化建设服务”。</w:t>
      </w:r>
    </w:p>
    <w:p w14:paraId="456834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15.三个不合格</w:t>
      </w:r>
    </w:p>
    <w:p w14:paraId="094B8C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高等教育战线要树立“不抓本科教育的高校不是合格的高校”“不重视本科教育的校长不是合格的校长”“不参与本科教育的教授不是合格的教授”的理念，坚持“以本为本”，把本科教育放在人才培养的核心地位、教育教学的基础地位、新时代教育发展的前沿地位。</w:t>
      </w:r>
    </w:p>
    <w:p w14:paraId="71504E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16.五个度</w:t>
      </w:r>
    </w:p>
    <w:p w14:paraId="01192D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本科审核评估重点考察“五个度”，一是学校人才培养效果与培养目标的达成度；二是学校办学定位和人才培养目标与社会需求的适应度；三是教师和教学资源对学校人才培养的保障度；四是教学质量保障体系运行的有效度；五是学生和用人单位的满意度。</w:t>
      </w:r>
    </w:p>
    <w:p w14:paraId="69F437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17.“五自”质量文化</w:t>
      </w:r>
    </w:p>
    <w:p w14:paraId="7500FE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五自”是指自觉、自省、自律、自查、自纠。质量是大学的生命线，高等教育质量文化是指人们对高等教育质量的态度、认知及价值追求，是以持续提升教育教学质量为目标的文化价值体系，是大学在长期教育教学实践过程中积淀、自觉形成的。</w:t>
      </w:r>
    </w:p>
    <w:p w14:paraId="3B8AA7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18.“学生中心、产出导向、持续改进”理念</w:t>
      </w:r>
    </w:p>
    <w:p w14:paraId="294B02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学生中心”强调从以“教”为中心的传统模式向以“学”为中心的新模式转变，要求遵循学生成长成才规律，以学生学习效果和个人发展为中心配置教育资源和安排教学活动，并将学生和用人单位满意度作为人才培养质量评价的重要依据。</w:t>
      </w:r>
    </w:p>
    <w:p w14:paraId="365AA8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“产出导向”强调立足社会需要和人的全面发展，以学生发展成效为导向，聚焦学生毕业后“学到了什么”和“能做什么”，反向设计课程体系与教学环节，配置师资队伍和资源条件，评价专业人才培养质量。</w:t>
      </w:r>
    </w:p>
    <w:p w14:paraId="1676E7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持续改进”强调聚焦学生核心能力素质要求，对专业教学进行全方位、全过程跟踪与评价，并将评价结果用于教学改进，形成“评价-反馈-改进”闭环，建立持续改进质量保障机制和追求卓越质量文化，推动专业人才培养能力和质量不断提升。</w:t>
      </w:r>
    </w:p>
    <w:p w14:paraId="35BA6E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19.“四有好老师”“四个引路人”“四个相统一” </w:t>
      </w:r>
    </w:p>
    <w:p w14:paraId="5B9400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“四有好老师”是指教师要有理想信念、有道德情操、有扎实学识、有仁爱之心。</w:t>
      </w:r>
    </w:p>
    <w:p w14:paraId="6462B7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“四个引路人”是指广大教师要做学生锤炼品格的引路人，做学生学习知识的引路人，做学生创新思维的引路人，做学生奉献祖国的引路人。</w:t>
      </w:r>
    </w:p>
    <w:p w14:paraId="0F4137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“四个相统一”是指教师要坚持教书和育人相统一，坚持言传和身教相统一，坚持潜心问道和关注社会相统一，坚持学术自由和学术规范相统一”。</w:t>
      </w:r>
    </w:p>
    <w:p w14:paraId="63AACB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20.双万计划</w:t>
      </w:r>
    </w:p>
    <w:p w14:paraId="1F8D6E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教育部“双一流专业”计划，是指教育部以建设面向未来、适应需求、引领发展、理念先进、保障有力的一流专业为目标，实施一流专业建设，建设一万个国家级一流本科专业点和一万个省级一流本科专业点。</w:t>
      </w:r>
    </w:p>
    <w:p w14:paraId="79C9C3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Style w:val="5"/>
          <w:rFonts w:hint="eastAsia" w:ascii="微软雅黑" w:hAnsi="微软雅黑" w:eastAsia="微软雅黑" w:cs="微软雅黑"/>
          <w:i w:val="0"/>
          <w:iCs w:val="0"/>
          <w:caps w:val="0"/>
          <w:color w:val="0D50C9"/>
          <w:spacing w:val="8"/>
          <w:sz w:val="22"/>
          <w:szCs w:val="22"/>
          <w:bdr w:val="none" w:color="auto" w:sz="0" w:space="0"/>
          <w:shd w:val="clear" w:fill="FFFFFF"/>
        </w:rPr>
        <w:t>21.教育家精神</w:t>
      </w:r>
    </w:p>
    <w:p w14:paraId="60E3B2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iCs w:val="0"/>
          <w:caps w:val="0"/>
          <w:spacing w:val="8"/>
          <w:sz w:val="22"/>
          <w:szCs w:val="22"/>
        </w:rPr>
      </w:pPr>
      <w:r>
        <w:rPr>
          <w:rFonts w:hint="eastAsia" w:ascii="微软雅黑" w:hAnsi="微软雅黑" w:eastAsia="微软雅黑" w:cs="微软雅黑"/>
          <w:i w:val="0"/>
          <w:iCs w:val="0"/>
          <w:caps w:val="0"/>
          <w:spacing w:val="8"/>
          <w:sz w:val="22"/>
          <w:szCs w:val="22"/>
          <w:bdr w:val="none" w:color="auto" w:sz="0" w:space="0"/>
          <w:shd w:val="clear" w:fill="FFFFFF"/>
        </w:rPr>
        <w:t>教师群体中涌现出一批教育家和优秀教师，他们具有心有大我、至诚报国的理想信念，言为士则、行为世范的道德情操，启智润心、因材施教的育人智慧，勤学笃行、求是创新的躬耕态度，乐教爱生、甘于奉献的仁爱之心，胸怀天下、以文化人的弘道追求，展现了中国特有的教育家精神。</w:t>
      </w:r>
    </w:p>
    <w:p w14:paraId="6628CFE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1YmVmNjY5N2NmMTI1NmRlZmM1YTM5MjFlM2YyYWMifQ=="/>
  </w:docVars>
  <w:rsids>
    <w:rsidRoot w:val="56665A7D"/>
    <w:rsid w:val="03731D73"/>
    <w:rsid w:val="07765038"/>
    <w:rsid w:val="07E7170B"/>
    <w:rsid w:val="24E26DE9"/>
    <w:rsid w:val="32BC3D74"/>
    <w:rsid w:val="32D605C4"/>
    <w:rsid w:val="37D310E3"/>
    <w:rsid w:val="56665A7D"/>
    <w:rsid w:val="61D41ACC"/>
    <w:rsid w:val="6C142C94"/>
    <w:rsid w:val="6E861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2024-11-20T06:31:00Z</dcterms:created>
  <dc:creator>邢迪雅</dc:creator>
  <cp:lastModifiedBy>邢迪雅</cp:lastModifiedBy>
  <dcterms:modified xsi:type="dcterms:W3CDTF">2024-11-20T06:33:10Z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2F05BC70FB3B40B38F903DBB1F63251D_11</vt:lpwstr>
  </property>
</Properties>
</file>